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A258F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2DFDD6E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13E8FD1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78200A02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02CDAB4" w14:textId="77777777" w:rsidR="008F3689" w:rsidRDefault="008F3689" w:rsidP="008F3689"/>
    <w:p w14:paraId="53CED520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0D30D22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F12222">
        <w:rPr>
          <w:rFonts w:asciiTheme="majorHAnsi" w:hAnsiTheme="majorHAnsi" w:cs="MyriadPro-Black"/>
          <w:caps/>
          <w:sz w:val="60"/>
          <w:szCs w:val="60"/>
        </w:rPr>
        <w:t>IPRÚ</w:t>
      </w:r>
    </w:p>
    <w:p w14:paraId="7BABB7C6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05B632C0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39C5A121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6DC33D5C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F1222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14:paraId="7615F279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303F621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0A0638AB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BB8A215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652ECEAD" w14:textId="77777777" w:rsidR="008F3689" w:rsidRDefault="008F3689" w:rsidP="008F3689">
      <w:pPr>
        <w:tabs>
          <w:tab w:val="left" w:pos="5055"/>
        </w:tabs>
        <w:jc w:val="center"/>
      </w:pPr>
    </w:p>
    <w:p w14:paraId="4FBBB4E3" w14:textId="77777777" w:rsidR="008F3689" w:rsidRDefault="008F3689" w:rsidP="008F3689">
      <w:pPr>
        <w:tabs>
          <w:tab w:val="left" w:pos="5055"/>
        </w:tabs>
        <w:jc w:val="center"/>
      </w:pPr>
    </w:p>
    <w:p w14:paraId="6F1753D6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CF81DB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599FC89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F79C6A4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DC68E97" w14:textId="02BC162D" w:rsidR="008F3689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950908">
        <w:rPr>
          <w:rFonts w:asciiTheme="majorHAnsi" w:hAnsiTheme="majorHAnsi" w:cs="MyriadPro-Black"/>
          <w:caps/>
          <w:color w:val="auto"/>
          <w:sz w:val="32"/>
          <w:szCs w:val="40"/>
        </w:rPr>
        <w:t>2</w:t>
      </w:r>
      <w:r w:rsidR="001F1B3C">
        <w:rPr>
          <w:rFonts w:asciiTheme="majorHAnsi" w:hAnsiTheme="majorHAnsi" w:cs="MyriadPro-Black"/>
          <w:caps/>
          <w:color w:val="auto"/>
          <w:sz w:val="32"/>
          <w:szCs w:val="40"/>
        </w:rPr>
        <w:t>7</w:t>
      </w:r>
      <w:r w:rsidR="00F97076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1F1B3C"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7B2CEF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</w:t>
      </w:r>
      <w:r w:rsidR="007B2CEF">
        <w:rPr>
          <w:rFonts w:asciiTheme="majorHAnsi" w:hAnsiTheme="majorHAnsi" w:cs="MyriadPro-Black"/>
          <w:caps/>
          <w:color w:val="auto"/>
          <w:sz w:val="32"/>
          <w:szCs w:val="40"/>
        </w:rPr>
        <w:t>8</w:t>
      </w:r>
    </w:p>
    <w:p w14:paraId="4559315D" w14:textId="77777777" w:rsidR="007E64B8" w:rsidRPr="001C7794" w:rsidRDefault="007E64B8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</w:p>
    <w:p w14:paraId="09C79607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6CEAA15F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D34AD5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58D9EC5F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03DAB1B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6180B142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4DCFE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2CCB0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75685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2FBBAD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3FA3ED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644521D9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1BF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07F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10F0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84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EAA192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1B6FEDAE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306A6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E0C9FCF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FFDFF6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3E3B1DE8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7CF715CF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655CCBA8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5B9A8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44B83D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730A2D9E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E185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C17DF7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4E5601FD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84EBC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486AEDE8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49738CD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2FA77071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35CA8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695A7639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9158E5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740C2BB8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11F62C94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2C18F1A0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53FA4205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2C38AD0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62B134F6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4349B4AF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7DA565F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4D452D50" w14:textId="77777777" w:rsidR="00065576" w:rsidRPr="008E159E" w:rsidRDefault="00065576" w:rsidP="004A731D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71E830A6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lastRenderedPageBreak/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739F414B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3F98D727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6582C536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64D4A4D9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</w:t>
            </w:r>
            <w:r w:rsidR="001F1B3C">
              <w:rPr>
                <w:sz w:val="20"/>
                <w:szCs w:val="20"/>
              </w:rPr>
              <w:t xml:space="preserve">ČR </w:t>
            </w:r>
            <w:r>
              <w:rPr>
                <w:sz w:val="20"/>
                <w:szCs w:val="20"/>
              </w:rPr>
              <w:t xml:space="preserve">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4CC4F8D1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3B8A378D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4081FCF5" w14:textId="77777777" w:rsidR="004C5957" w:rsidRPr="00E61EE3" w:rsidRDefault="00045452" w:rsidP="00E56AE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D564A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55D20996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75C69D60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5F905C91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403C07B5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5A008D35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62361E04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512A71A5" w14:textId="77777777" w:rsidR="00E56AE1" w:rsidRPr="00E56AE1" w:rsidRDefault="00065576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645699E3" w14:textId="6DC6B9C6" w:rsidR="00065576" w:rsidRPr="004A731D" w:rsidRDefault="004A731D" w:rsidP="0038372B">
            <w:pPr>
              <w:ind w:left="170" w:right="170"/>
              <w:jc w:val="both"/>
              <w:rPr>
                <w:sz w:val="24"/>
                <w:szCs w:val="24"/>
              </w:rPr>
            </w:pP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>OSVČ, která zaměstnává (nebo v důsledku vzniku či rozšíření podniku přijme zaměstnance na nově vytvořená místa) kromě sebe také další osoby, se vykazuje stejně jako v případě rozšíření sociálního podniku</w:t>
            </w:r>
            <w:r w:rsidR="0038372B">
              <w:rPr>
                <w:rFonts w:asciiTheme="minorHAnsi" w:eastAsiaTheme="minorHAnsi" w:hAnsiTheme="minorHAnsi" w:cstheme="minorBidi"/>
                <w:lang w:eastAsia="en-US"/>
              </w:rPr>
              <w:t>.</w:t>
            </w: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</w:p>
        </w:tc>
      </w:tr>
      <w:tr w:rsidR="00065576" w:rsidRPr="0098535B" w14:paraId="2EE5CCDA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7663F7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40F0A408" w14:textId="77777777" w:rsidR="00DD4FED" w:rsidRDefault="00DD4FED">
      <w:r>
        <w:br w:type="page"/>
      </w:r>
    </w:p>
    <w:tbl>
      <w:tblPr>
        <w:tblW w:w="9684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4BAB53F4" w14:textId="77777777" w:rsidTr="00E56AE1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D1A2C4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075E2D92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306F0F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7C56ECAC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2DC2847D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1A616895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25F5E64F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659137CB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0F165173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663F4F10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25C9120C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2DC62C27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2698AD2F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4A38B5D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7CA419A5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3E78BF69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3953EB59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637884C1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2189CEA2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3EC8F39E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E36DB47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5986F554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297E7CBF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74846E12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77F9BB5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15852947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08D36F3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3481DDEC" w14:textId="77777777" w:rsid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52B71CF" w14:textId="77777777" w:rsidR="00E56AE1" w:rsidRPr="00205F6C" w:rsidRDefault="00E56AE1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63668AE7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BA128E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4A980AB5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BBE65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419E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2C4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4DF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BB16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1E31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08F1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E3A9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BDA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2D9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A6B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FB30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33D0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42A1FC08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F96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1F1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DF271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B76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3FEB39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FCF7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6AEF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336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B3D9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60BA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A5BB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E39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FD2A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7199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3EF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CAB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3058DE2A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E939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8051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5F3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6D1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9CF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A8D996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417F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7ECFF685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FAC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7A8E3D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53AC69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AE079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0A2E3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3F0D7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98D4F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3FE4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1CC6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5F144E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EC46B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612E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D41A66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9AEA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42447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EC9DA7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0CFC0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D07C0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6A889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80C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3BC9F536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154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7C4E9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E0B6C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1A15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6D89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50689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C7FCE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3E2AA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F6EF0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3CDFB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60742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541CB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DE3C5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BEE29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707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D608380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0E7F7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FD64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C63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A4E59D5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18B9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73C06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A9B0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39A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54C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D5D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F1EF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3C4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647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D568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DC11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5DB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D3EF7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744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36F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61B9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DE3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C9716D7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905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7EC5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33F9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4A75B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92EE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D62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628B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5FAD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58A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82CB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7F0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222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978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679D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DA2A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576D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D33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473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C689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432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3DE1EC4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4138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37E826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75C96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560BA5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7C812F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718CFB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489B3E4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B196A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5ECF1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E048E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DD8B9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1410D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7C010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E42B2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FB7C2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9EC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E27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588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398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409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984157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F0A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E9D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05D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DD8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6EE0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7357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A569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9D41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9AD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87592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2C5F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0738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E19F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679C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AED2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A03C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F019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CEF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C70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75F8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6F66AC4A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F8025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3E79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8E8D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88D0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292DEC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C8AE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A32E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9FF0C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5F8B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32AD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F7A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3FA5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38E7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557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CF23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4343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409D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A00C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CA8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1CC9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3B5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436E81E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39C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CF4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32FB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9571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FEE1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ED50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F6F7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4271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C3E5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FCCF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381A1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ED5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833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AA8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796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4B1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89A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4FB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7C0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7CB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B9E431D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370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C9DD8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E836D5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306639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7269E1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F8BF8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57CB208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6AC87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CBC8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E17F6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E1BD2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2366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00EE0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C6AD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205256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77A0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4D8E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59022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383E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72B1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89C8E6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819D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C972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F50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340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ADE6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1E7B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13EF7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7603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39EC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E64D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EBF2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8267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8814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3E60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D13C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BB2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60154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70C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02A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D91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0A67199E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096D5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1C773BCD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253DF9D2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5B8AA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1AA479F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0C8A6DE4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6701D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7C96C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304E6CA9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06C09933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1E883030" w14:textId="77777777" w:rsidTr="00E56AE1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5C2000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3DAA381F" w14:textId="77777777" w:rsidTr="00E56AE1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AD6FE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69157D2A" w14:textId="77777777" w:rsidTr="00E56AE1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37E33D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03B33054" w14:textId="77777777" w:rsidTr="00E56AE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6FA49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097FF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7EAAD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6D46BB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F7689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7385DEF8" w14:textId="77777777" w:rsidTr="00E56AE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AFB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48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7049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61C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8F1784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16A646C8" w14:textId="77777777" w:rsidTr="00E56AE1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1C7BCE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2507610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F612F1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12416871" w14:textId="77777777" w:rsidR="00065576" w:rsidRPr="00856363" w:rsidRDefault="008D35EC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14:paraId="02260778" w14:textId="77777777" w:rsidTr="00E56AE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3CE3AC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B28F0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22D9CE36" w14:textId="77777777" w:rsidTr="00E56AE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26BE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4FF793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6FDC32D" w14:textId="77777777" w:rsidTr="00E56AE1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C8B61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1232D9D9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035921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6B8FE606" w14:textId="77777777" w:rsidTr="00E56AE1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DC0A9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68BB1E58" w14:textId="77777777" w:rsidTr="00E56AE1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A786ED7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4940EEEB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5B1A8BC8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24714C67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298CCF9B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1A052C07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5376BD4B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0D48BB4B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3A45E5F1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26932326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75B81F0D" w14:textId="77777777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D564A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338C230B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22293770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22408062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1F89E806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Cílová hodnota</w:t>
            </w:r>
            <w:r w:rsidRPr="004C5957">
              <w:rPr>
                <w:b/>
                <w:sz w:val="20"/>
                <w:szCs w:val="20"/>
              </w:rPr>
              <w:t xml:space="preserve">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0896FF68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23D0E85D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206EF860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5C3B4461" w14:textId="77777777" w:rsidR="00B7063B" w:rsidRPr="004A731D" w:rsidRDefault="00E56AE1" w:rsidP="004A731D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 xml:space="preserve">OSVČ, která zaměstnává (nebo v důsledku vzniku či rozšíření podniku přijme zaměstnance na nově vytvořená místa) kromě sebe také další osoby, se vykazuje stejně jako v případě rozšíření sociálního podniku </w:t>
            </w:r>
            <w:r w:rsidRPr="0088665C">
              <w:rPr>
                <w:sz w:val="20"/>
                <w:szCs w:val="20"/>
              </w:rPr>
              <w:t>s tím, že v případě vzniku nové podnikatelské aktivity</w:t>
            </w:r>
            <w:r w:rsidR="00D5738D" w:rsidRPr="0088665C">
              <w:rPr>
                <w:sz w:val="20"/>
                <w:szCs w:val="20"/>
              </w:rPr>
              <w:t xml:space="preserve"> (oboru činnosti)</w:t>
            </w:r>
            <w:r w:rsidR="000756F1" w:rsidRPr="0088665C">
              <w:rPr>
                <w:sz w:val="20"/>
                <w:szCs w:val="20"/>
              </w:rPr>
              <w:t xml:space="preserve">, </w:t>
            </w:r>
            <w:r w:rsidRPr="0088665C">
              <w:rPr>
                <w:sz w:val="20"/>
                <w:szCs w:val="20"/>
              </w:rPr>
              <w:t xml:space="preserve"> OSVČ započítá svojí osobu (1 FTE), a naopak v případě, kdy jde pouze o rozšíření stá</w:t>
            </w:r>
            <w:r w:rsidR="004A731D" w:rsidRPr="0088665C">
              <w:rPr>
                <w:sz w:val="20"/>
                <w:szCs w:val="20"/>
              </w:rPr>
              <w:t>vající aktivity</w:t>
            </w:r>
            <w:r w:rsidR="00D5738D" w:rsidRPr="0088665C">
              <w:rPr>
                <w:sz w:val="20"/>
                <w:szCs w:val="20"/>
              </w:rPr>
              <w:t xml:space="preserve"> existujícího sociální podniku</w:t>
            </w:r>
            <w:r w:rsidR="004A731D" w:rsidRPr="0088665C">
              <w:rPr>
                <w:sz w:val="20"/>
                <w:szCs w:val="20"/>
              </w:rPr>
              <w:t>, jsou započítány pouze nově vytvořené úvazky</w:t>
            </w:r>
            <w:r w:rsidRPr="0088665C">
              <w:rPr>
                <w:sz w:val="20"/>
                <w:szCs w:val="20"/>
              </w:rPr>
              <w:t xml:space="preserve"> </w:t>
            </w:r>
            <w:r w:rsidR="004A731D" w:rsidRPr="0088665C">
              <w:rPr>
                <w:sz w:val="20"/>
                <w:szCs w:val="20"/>
              </w:rPr>
              <w:t>(</w:t>
            </w:r>
            <w:r w:rsidRPr="0088665C">
              <w:rPr>
                <w:sz w:val="20"/>
                <w:szCs w:val="20"/>
              </w:rPr>
              <w:t>FTE</w:t>
            </w:r>
            <w:r w:rsidR="004A731D" w:rsidRPr="0088665C">
              <w:rPr>
                <w:sz w:val="20"/>
                <w:szCs w:val="20"/>
              </w:rPr>
              <w:t>)</w:t>
            </w:r>
            <w:r w:rsidR="00D5738D" w:rsidRPr="0088665C">
              <w:rPr>
                <w:sz w:val="20"/>
                <w:szCs w:val="20"/>
              </w:rPr>
              <w:t xml:space="preserve"> zaměstnanců</w:t>
            </w:r>
            <w:r w:rsidRPr="0088665C">
              <w:rPr>
                <w:sz w:val="20"/>
                <w:szCs w:val="20"/>
              </w:rPr>
              <w:t>.</w:t>
            </w:r>
          </w:p>
        </w:tc>
      </w:tr>
      <w:tr w:rsidR="00065576" w:rsidRPr="0098535B" w14:paraId="155D8EF9" w14:textId="77777777" w:rsidTr="00E56AE1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87FF64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6288B292" w14:textId="77777777" w:rsidTr="00E56AE1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42B2CF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36D28C90" w14:textId="77777777" w:rsidR="00E56AE1" w:rsidRPr="00E56AE1" w:rsidRDefault="00F016DB" w:rsidP="00E56AE1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Dosažené hodnoty vykazuje v systému </w:t>
            </w:r>
            <w:r w:rsidR="00E56AE1">
              <w:rPr>
                <w:rFonts w:asciiTheme="minorHAnsi" w:hAnsiTheme="minorHAnsi"/>
                <w:color w:val="000000"/>
              </w:rPr>
              <w:t xml:space="preserve">MS2014+ prostřednictvím </w:t>
            </w: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4667303A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7FB1F895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699A7253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520C047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347D53BD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47023B5F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3BAC90D1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63C6B94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36F7FBCF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62841561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00351AA3" w14:textId="77777777" w:rsidR="00D25098" w:rsidRDefault="00AE5178" w:rsidP="00E56AE1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104B7E03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3B2E05AB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6F9C4B63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5A051850" w14:textId="77777777" w:rsidR="00D25098" w:rsidRPr="00E56AE1" w:rsidRDefault="00D25098" w:rsidP="00E56AE1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D564A3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10829EF0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000CCFDA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1829E9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570ACE9D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E8995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40D32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04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627E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ABEE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965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4304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E2C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4CA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6FD8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86F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CAF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7C3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2B96C896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5462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166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C647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6375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75DAD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9935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763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104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8760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3BC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73D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69D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EF6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5B1A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C339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C5353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0ACE82D4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9DAE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70143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4F16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CD6E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D2C6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1CD57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6079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5467041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DB75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4F0350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E2F9A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34E85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65A688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569B89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3DAA0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4F9B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A16AE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2371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78B3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99AFF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3C8C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FE645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01040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A97CF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01BC3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69F91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AE3785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4BD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11A70C2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D5A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4A65D3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51D68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9FB59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060C5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143F1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C46AB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3F75E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9BF7D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7EC3E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2F1B0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C199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DF3AA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D99A4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07F2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F8A5F9E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46C70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0D3B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7C55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6E037A0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82EF0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1926C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F1797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D5D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CD2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65C7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520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EA45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2D4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29BE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32F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6F7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FE87B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9C4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0C1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B28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1838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44F65475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2BD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FC9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E71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8A66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B396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0DC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BAB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F94E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F0AB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F325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A6D2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B14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681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96D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BA4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216A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C6D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49B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457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0187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0AB1CC3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2E93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588CAB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BD617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2F5C630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64FBC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C01C2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A9F8C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5E5E5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A9FE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8567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E8832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9FCB8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F30839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5C56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0E1B5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4A1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D543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416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F9FC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297E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8C6ADF4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B51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1EA6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B0C0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A07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9DA65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45D9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7EE0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28F6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34F1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EBAF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76ED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3470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7CD9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7578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4991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143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A5C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158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8D2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F92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448534F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C250E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68B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067D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C72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823E24D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B0A5D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7D0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686CB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F8AD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F06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190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C8E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C99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19E5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3D3B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E974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D8F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98C6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D39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DFE94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642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7F0FA6C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D76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992C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0C5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0CC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51A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ED4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082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E29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B51D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FC9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39B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362A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BEF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F2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0F0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426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0FF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876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95BF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046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4E45DD0A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3E5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4044E7B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E7AAA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2F396F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5F2E7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299CAB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10172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8F3A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4BE73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960CE9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1E129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6010BE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13199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6D797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CF9C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2B2A2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1E575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9089B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935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AD9E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02B1CF8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DA0F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550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32D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4ABF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6AF0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4AA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AED1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57D8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D10B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6F53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992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AC99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4419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4AC8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C524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D11F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7C02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23B5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BE0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39BC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678DE3F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3387A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139A66C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4CA10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26A89A63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2D3781E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7EA49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D783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55F2E6AF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31377391" w14:textId="77777777" w:rsidR="00312C40" w:rsidRDefault="00312C40" w:rsidP="00D3701F">
      <w:pPr>
        <w:spacing w:after="200" w:line="276" w:lineRule="auto"/>
        <w:rPr>
          <w:b/>
        </w:rPr>
      </w:pPr>
    </w:p>
    <w:p w14:paraId="37594410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694F11A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4FE915B6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AF263B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6CFAD07D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F2CEF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1757FE4E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1D47CA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1F73A41D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C3BBC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08433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06B6F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A53D54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2E8A13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05E7473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C2A1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690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7FB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7169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AB27E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2C90247F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A6301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2CE01EF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D4E7D1" w14:textId="77777777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74A9B50E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42D12D3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382329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2FC0B652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E022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</w:t>
            </w:r>
            <w:bookmarkStart w:id="0" w:name="_GoBack"/>
            <w:bookmarkEnd w:id="0"/>
            <w:r w:rsidRPr="009E3E3F">
              <w:rPr>
                <w:rFonts w:asciiTheme="minorHAnsi" w:hAnsiTheme="minorHAnsi"/>
              </w:rPr>
              <w:t>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0A508B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396B3A19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1F28C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69CA486D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1A09D9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694D2E1D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495BA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73C47AB3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0EF0DB0" w14:textId="7777777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7DECFC24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0791DDCE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01F6CA88" w14:textId="4E039197" w:rsidR="00F016DB" w:rsidRPr="00C16347" w:rsidRDefault="00045452" w:rsidP="001F1B3C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1F1B3C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14:paraId="5B7FEDBF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A4272E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27DE6FD1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5D090A7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3D4A2F75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620B7EB5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6E08D279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637F5B4C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1B746C69" w14:textId="77777777" w:rsidR="000709B8" w:rsidRDefault="000709B8" w:rsidP="000709B8"/>
    <w:p w14:paraId="5C6FB68F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4BB718D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660013C0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1955EA0E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B5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A73860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C38B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9C9152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7FF138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3B80926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E68B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99129A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68F3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054C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26185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671A03B0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C65B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557B69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6C4A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491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46B9F5DD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166CD28F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0C600F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CE199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45F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F09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FAC53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7EDA3AC8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7D669ED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AA88DC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18A4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38AC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2A0A4F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56178D0A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0E12CE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F434E3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D051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83D4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C70BAC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5FECE1D0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8AA461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D0FEB8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BEC0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806C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2DA3AC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4A5F94F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CAB9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0CCBD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49B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461F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6D7C0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208C0354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573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4E35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92C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11BE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D63D7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0F6A3C4C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6749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4F371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F91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E19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185B10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330380C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97EE05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49341C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7B2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98A2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72D6188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768EC427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708BD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B0A0E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83F3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BB3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3C622B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6650F7A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FB06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35F82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14B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F77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74078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47242AA2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3A351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1452C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93C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14C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2A3446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51847473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0266" w14:textId="77777777" w:rsidR="000756F1" w:rsidRDefault="000756F1" w:rsidP="00A05B52">
      <w:r>
        <w:separator/>
      </w:r>
    </w:p>
  </w:endnote>
  <w:endnote w:type="continuationSeparator" w:id="0">
    <w:p w14:paraId="7943E18B" w14:textId="77777777" w:rsidR="000756F1" w:rsidRDefault="000756F1" w:rsidP="00A05B52">
      <w:r>
        <w:continuationSeparator/>
      </w:r>
    </w:p>
  </w:endnote>
  <w:endnote w:type="continuationNotice" w:id="1">
    <w:p w14:paraId="2E5AF176" w14:textId="77777777" w:rsidR="000756F1" w:rsidRDefault="000756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756F1" w:rsidRPr="00E47FC1" w14:paraId="568A5A61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273A30D" w14:textId="77777777" w:rsidR="000756F1" w:rsidRPr="00E47FC1" w:rsidRDefault="000756F1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42E2E5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07355F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97509B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FC3502" w14:textId="5ED5D28D" w:rsidR="000756F1" w:rsidRPr="00E47FC1" w:rsidRDefault="000756F1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8372B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8372B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4BA0E1D" w14:textId="77777777" w:rsidR="000756F1" w:rsidRDefault="000756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F3FB2" w14:textId="77777777" w:rsidR="000756F1" w:rsidRDefault="000756F1" w:rsidP="00A05B52">
      <w:r>
        <w:separator/>
      </w:r>
    </w:p>
  </w:footnote>
  <w:footnote w:type="continuationSeparator" w:id="0">
    <w:p w14:paraId="1343FBB4" w14:textId="77777777" w:rsidR="000756F1" w:rsidRDefault="000756F1" w:rsidP="00A05B52">
      <w:r>
        <w:continuationSeparator/>
      </w:r>
    </w:p>
  </w:footnote>
  <w:footnote w:type="continuationNotice" w:id="1">
    <w:p w14:paraId="7435C9A4" w14:textId="77777777" w:rsidR="000756F1" w:rsidRDefault="000756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B07C" w14:textId="77777777" w:rsidR="000756F1" w:rsidRDefault="000756F1" w:rsidP="00D647F5">
    <w:pPr>
      <w:pStyle w:val="Zhlav"/>
      <w:jc w:val="center"/>
    </w:pPr>
    <w:r>
      <w:rPr>
        <w:noProof/>
      </w:rPr>
      <w:drawing>
        <wp:inline distT="0" distB="0" distL="0" distR="0" wp14:anchorId="4F8DDA38" wp14:editId="0FF988D6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665C0" w14:textId="77777777" w:rsidR="000756F1" w:rsidRDefault="000756F1">
    <w:pPr>
      <w:pStyle w:val="Zhlav"/>
    </w:pPr>
    <w:r>
      <w:rPr>
        <w:noProof/>
      </w:rPr>
      <w:drawing>
        <wp:inline distT="0" distB="0" distL="0" distR="0" wp14:anchorId="73034232" wp14:editId="5F0F6ACE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756F1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1F1B3C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8372B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A731D"/>
    <w:rsid w:val="004B51B8"/>
    <w:rsid w:val="004C1E88"/>
    <w:rsid w:val="004C5957"/>
    <w:rsid w:val="004D7F72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B2CEF"/>
    <w:rsid w:val="007C1D1D"/>
    <w:rsid w:val="007C2813"/>
    <w:rsid w:val="007C7E27"/>
    <w:rsid w:val="007D0C63"/>
    <w:rsid w:val="007D570D"/>
    <w:rsid w:val="007E64B8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8665C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908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4A1F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3A33"/>
    <w:rsid w:val="00C7722A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4A3"/>
    <w:rsid w:val="00D56D63"/>
    <w:rsid w:val="00D5738D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56AE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7D2A"/>
    <w:rsid w:val="00E97089"/>
    <w:rsid w:val="00ED284E"/>
    <w:rsid w:val="00ED3959"/>
    <w:rsid w:val="00ED48ED"/>
    <w:rsid w:val="00ED52EB"/>
    <w:rsid w:val="00ED5738"/>
    <w:rsid w:val="00EE7F70"/>
    <w:rsid w:val="00EF4710"/>
    <w:rsid w:val="00F016DB"/>
    <w:rsid w:val="00F01AB1"/>
    <w:rsid w:val="00F05AB6"/>
    <w:rsid w:val="00F12222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1365637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2FD7-6834-4D6E-8F3E-43D315B7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3210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14</cp:revision>
  <cp:lastPrinted>2015-10-19T14:50:00Z</cp:lastPrinted>
  <dcterms:created xsi:type="dcterms:W3CDTF">2018-01-03T09:48:00Z</dcterms:created>
  <dcterms:modified xsi:type="dcterms:W3CDTF">2018-09-21T08:39:00Z</dcterms:modified>
</cp:coreProperties>
</file>